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89B" w:rsidRPr="00800672" w:rsidRDefault="00E05974" w:rsidP="00E05974">
      <w:pPr>
        <w:jc w:val="center"/>
        <w:rPr>
          <w:b/>
          <w:sz w:val="28"/>
        </w:rPr>
      </w:pPr>
      <w:r w:rsidRPr="00800672">
        <w:rPr>
          <w:b/>
          <w:sz w:val="28"/>
        </w:rPr>
        <w:t>FAQ IDRA</w:t>
      </w:r>
      <w:r w:rsidR="0077707B">
        <w:rPr>
          <w:b/>
          <w:sz w:val="28"/>
        </w:rPr>
        <w:t xml:space="preserve"> 2023</w:t>
      </w:r>
      <w:r w:rsidRPr="00800672">
        <w:rPr>
          <w:b/>
          <w:sz w:val="28"/>
        </w:rPr>
        <w:t xml:space="preserve"> – Version du </w:t>
      </w:r>
      <w:r w:rsidR="0077707B">
        <w:rPr>
          <w:b/>
          <w:sz w:val="28"/>
        </w:rPr>
        <w:t>09/11/2023</w:t>
      </w:r>
    </w:p>
    <w:p w:rsidR="00E05974" w:rsidRPr="0077707B" w:rsidRDefault="00E05974" w:rsidP="00E059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color w:val="000000"/>
        </w:rPr>
      </w:pPr>
      <w:r w:rsidRPr="0077707B">
        <w:rPr>
          <w:rFonts w:ascii="CIDFont+F1" w:hAnsi="CIDFont+F1" w:cs="CIDFont+F1"/>
          <w:b/>
          <w:color w:val="000000"/>
        </w:rPr>
        <w:t>Peut-on cumuler un financement FEDER avec IDRA ?</w:t>
      </w:r>
    </w:p>
    <w:p w:rsidR="00E05974" w:rsidRDefault="00E05974" w:rsidP="00E0597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Non, cela est impossible au nom de la règle de l’interdiction des doubles financements européens.</w:t>
      </w:r>
    </w:p>
    <w:p w:rsidR="00E05974" w:rsidRDefault="00E05974" w:rsidP="00E0597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IDRA est en effet issu du Ségur qui est financé par des fonds européens.</w:t>
      </w:r>
    </w:p>
    <w:p w:rsidR="00E05974" w:rsidRDefault="00E05974" w:rsidP="00E0597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</w:p>
    <w:p w:rsidR="00E05974" w:rsidRPr="0077707B" w:rsidRDefault="00E05974" w:rsidP="00E059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color w:val="000000"/>
        </w:rPr>
      </w:pPr>
      <w:r w:rsidRPr="0077707B">
        <w:rPr>
          <w:rFonts w:ascii="CIDFont+F1" w:hAnsi="CIDFont+F1" w:cs="CIDFont+F1"/>
          <w:b/>
          <w:color w:val="000000"/>
        </w:rPr>
        <w:t xml:space="preserve"> Un projet pour lequel le permis de construire est déposé mais dont les travaux n’ont pas encore commencé est-il éligible à IDRA ?</w:t>
      </w:r>
    </w:p>
    <w:p w:rsidR="00E05974" w:rsidRDefault="00E05974" w:rsidP="00E0597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Oui mais sous réserve d’un projet amélioré par rapport au permis de construire obtenu, quitte à devoir solliciter un permis modificatif.</w:t>
      </w:r>
    </w:p>
    <w:p w:rsidR="00E05974" w:rsidRDefault="00E05974" w:rsidP="00E0597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</w:p>
    <w:p w:rsidR="00E05974" w:rsidRPr="0077707B" w:rsidRDefault="00E05974" w:rsidP="00E059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color w:val="000000"/>
        </w:rPr>
      </w:pPr>
      <w:r w:rsidRPr="0077707B">
        <w:rPr>
          <w:rFonts w:ascii="CIDFont+F1" w:hAnsi="CIDFont+F1" w:cs="CIDFont+F1"/>
          <w:b/>
          <w:color w:val="000000"/>
        </w:rPr>
        <w:t>Un projet pour lequel les travaux ont commencé est-il éligible à IDRA ?</w:t>
      </w:r>
    </w:p>
    <w:p w:rsidR="00E05974" w:rsidRDefault="00E05974" w:rsidP="00E0597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Non, pour pouvoir bénéficier d’IDRA les travaux ne doivent pas avoir commencé avant la notification de l’aide à l’organisme gestionnaire.</w:t>
      </w:r>
    </w:p>
    <w:p w:rsidR="00E05974" w:rsidRDefault="00E05974" w:rsidP="00E0597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</w:p>
    <w:p w:rsidR="00E05974" w:rsidRPr="0077707B" w:rsidRDefault="00E05974" w:rsidP="00E059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color w:val="000000"/>
        </w:rPr>
      </w:pPr>
      <w:r w:rsidRPr="0077707B">
        <w:rPr>
          <w:rFonts w:ascii="CIDFont+F1" w:hAnsi="CIDFont+F1" w:cs="CIDFont+F1"/>
          <w:b/>
          <w:color w:val="000000"/>
        </w:rPr>
        <w:t>Quand sont versés les fonds aux porteurs de projets ?</w:t>
      </w:r>
    </w:p>
    <w:p w:rsidR="00E05974" w:rsidRDefault="00E05974" w:rsidP="00E0597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Les fonds sont versés aux porteurs de projets par la CARSAT sur présentation d’un permis de construire obtenu </w:t>
      </w:r>
      <w:r w:rsidR="0077707B">
        <w:rPr>
          <w:rFonts w:ascii="CIDFont+F1" w:hAnsi="CIDFont+F1" w:cs="CIDFont+F1"/>
          <w:color w:val="000000"/>
        </w:rPr>
        <w:t>avant le 31/08/2025</w:t>
      </w:r>
      <w:r>
        <w:rPr>
          <w:rFonts w:ascii="CIDFont+F1" w:hAnsi="CIDFont+F1" w:cs="CIDFont+F1"/>
          <w:color w:val="000000"/>
        </w:rPr>
        <w:t>.</w:t>
      </w:r>
    </w:p>
    <w:p w:rsidR="00E05974" w:rsidRPr="0077707B" w:rsidRDefault="00E05974" w:rsidP="00E0597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color w:val="000000"/>
        </w:rPr>
      </w:pPr>
    </w:p>
    <w:p w:rsidR="00E05974" w:rsidRPr="0077707B" w:rsidRDefault="00E05974" w:rsidP="00E059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color w:val="000000"/>
        </w:rPr>
      </w:pPr>
      <w:r w:rsidRPr="0077707B">
        <w:rPr>
          <w:rFonts w:ascii="CIDFont+F1" w:hAnsi="CIDFont+F1" w:cs="CIDFont+F1"/>
          <w:b/>
          <w:color w:val="000000"/>
        </w:rPr>
        <w:t>Quand les travaux doivent-ils commencer ?</w:t>
      </w:r>
    </w:p>
    <w:p w:rsidR="00E05974" w:rsidRDefault="00E05974" w:rsidP="00E0597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L’acte juridique d’engagement des travaux doit être pris avant le 30 juin 2026. A défaut, le remboursement de la subvention pourra être exigé.</w:t>
      </w:r>
    </w:p>
    <w:p w:rsidR="00E05974" w:rsidRDefault="00E05974" w:rsidP="00E0597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</w:p>
    <w:p w:rsidR="00E05974" w:rsidRPr="0077707B" w:rsidRDefault="00E05974" w:rsidP="00E059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color w:val="000000"/>
        </w:rPr>
      </w:pPr>
      <w:r w:rsidRPr="0077707B">
        <w:rPr>
          <w:rFonts w:ascii="CIDFont+F1" w:hAnsi="CIDFont+F1" w:cs="CIDFont+F1"/>
          <w:b/>
          <w:color w:val="000000"/>
        </w:rPr>
        <w:t>Les organismes gestionnaires retenus auront-ils connaissance des montants qu’ils obtiendront dans le cadre d’IDRA ?</w:t>
      </w:r>
    </w:p>
    <w:p w:rsidR="00E05974" w:rsidRDefault="00E05974" w:rsidP="00E0597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Oui, il appartiendra aux CD et aux caisses locales de l’Assurance retraite de notifier leur décision aux porteurs de projets retenus.</w:t>
      </w:r>
    </w:p>
    <w:p w:rsidR="00E05974" w:rsidRDefault="00E05974" w:rsidP="00E0597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</w:p>
    <w:p w:rsidR="00E05974" w:rsidRPr="0077707B" w:rsidRDefault="00E05974" w:rsidP="00E059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color w:val="000000"/>
        </w:rPr>
      </w:pPr>
      <w:r w:rsidRPr="0077707B">
        <w:rPr>
          <w:rFonts w:ascii="CIDFont+F1" w:hAnsi="CIDFont+F1" w:cs="CIDFont+F1"/>
          <w:b/>
          <w:color w:val="000000"/>
        </w:rPr>
        <w:t xml:space="preserve"> Qu’en est-il du CPOM ? </w:t>
      </w:r>
    </w:p>
    <w:p w:rsidR="00E05974" w:rsidRDefault="00E05974" w:rsidP="00E0597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Le V de l’article 139 de la loi </w:t>
      </w:r>
      <w:r>
        <w:rPr>
          <w:rFonts w:ascii="CIDFont+F1" w:hAnsi="CIDFont+F1" w:cs="CIDFont+F1"/>
          <w:color w:val="202124"/>
        </w:rPr>
        <w:t xml:space="preserve">relative à la différenciation, la décentralisation, la déconcentration et portant diverses mesures de simplification de l'action publique locale </w:t>
      </w:r>
      <w:r>
        <w:rPr>
          <w:rFonts w:ascii="CIDFont+F1" w:hAnsi="CIDFont+F1" w:cs="CIDFont+F1"/>
          <w:color w:val="000000"/>
        </w:rPr>
        <w:t>(loi 3DS,2022) suspend</w:t>
      </w:r>
      <w:r>
        <w:rPr>
          <w:rFonts w:ascii="CIDFont+F1" w:hAnsi="CIDFont+F1" w:cs="CIDFont+F1"/>
          <w:color w:val="202124"/>
        </w:rPr>
        <w:t xml:space="preserve"> </w:t>
      </w:r>
      <w:r>
        <w:rPr>
          <w:rFonts w:ascii="CIDFont+F1" w:hAnsi="CIDFont+F1" w:cs="CIDFont+F1"/>
          <w:color w:val="000000"/>
        </w:rPr>
        <w:t>l’obligation de passer par un appel à projet jusqu’au 31/12/2025. En revanche, il rappelle l’obligation</w:t>
      </w:r>
      <w:r>
        <w:rPr>
          <w:rFonts w:ascii="CIDFont+F1" w:hAnsi="CIDFont+F1" w:cs="CIDFont+F1"/>
          <w:color w:val="202124"/>
        </w:rPr>
        <w:t xml:space="preserve"> </w:t>
      </w:r>
      <w:r>
        <w:rPr>
          <w:rFonts w:ascii="CIDFont+F1" w:hAnsi="CIDFont+F1" w:cs="CIDFont+F1"/>
          <w:color w:val="000000"/>
        </w:rPr>
        <w:t xml:space="preserve">de signer un CPOM. Cette obligation a été créée par la loi d’adaptation de la société au vieillissement (2015). L’article L313-12 renvoie à l’article L313-11 du même code, qui précise que le CPOM fixe les obligations respectives des parties signataires (à savoir le département et le gestionnaire) et prévoit les moyens nécessaires à la réalisation des objectifs fixés. L’article L313-12 précise, par ailleurs, que l’octroi du forfait autonomie est conditionné à la signature d’un CPOM, celui-ci peut être inclus dans le CPOM mentionné ci-dessus. </w:t>
      </w:r>
    </w:p>
    <w:p w:rsidR="00E05974" w:rsidRDefault="00E05974" w:rsidP="00E0597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</w:p>
    <w:p w:rsidR="00E05974" w:rsidRPr="0077707B" w:rsidRDefault="00E05974" w:rsidP="00E059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color w:val="000000"/>
        </w:rPr>
      </w:pPr>
      <w:r w:rsidRPr="00E05974">
        <w:rPr>
          <w:rFonts w:ascii="CIDFont+F1" w:hAnsi="CIDFont+F1" w:cs="CIDFont+F1"/>
          <w:color w:val="000000"/>
        </w:rPr>
        <w:t xml:space="preserve"> </w:t>
      </w:r>
      <w:r w:rsidRPr="0077707B">
        <w:rPr>
          <w:rFonts w:ascii="CIDFont+F1" w:hAnsi="CIDFont+F1" w:cs="CIDFont+F1"/>
          <w:b/>
          <w:color w:val="000000"/>
        </w:rPr>
        <w:t>Avec qui sont signées les conventions de financement des projets retenus ?</w:t>
      </w:r>
    </w:p>
    <w:p w:rsidR="00E05974" w:rsidRDefault="00E05974" w:rsidP="00E0597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Les conventions de financement sont signées entre l</w:t>
      </w:r>
      <w:r w:rsidR="0077707B">
        <w:rPr>
          <w:rFonts w:ascii="CIDFont+F1" w:hAnsi="CIDFont+F1" w:cs="CIDFont+F1"/>
          <w:color w:val="000000"/>
        </w:rPr>
        <w:t xml:space="preserve">a Caisse locale de l’Assurance Retraite </w:t>
      </w:r>
      <w:bookmarkStart w:id="0" w:name="_GoBack"/>
      <w:bookmarkEnd w:id="0"/>
      <w:r>
        <w:rPr>
          <w:rFonts w:ascii="CIDFont+F1" w:hAnsi="CIDFont+F1" w:cs="CIDFont+F1"/>
          <w:color w:val="000000"/>
        </w:rPr>
        <w:t>et le bailleur ou l’organisme gestionnaire si celui-ci dispose d’une délégation du bailleur.</w:t>
      </w:r>
    </w:p>
    <w:p w:rsidR="0077707B" w:rsidRDefault="0077707B" w:rsidP="00E0597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</w:p>
    <w:p w:rsidR="0077707B" w:rsidRPr="0077707B" w:rsidRDefault="0077707B" w:rsidP="0077707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</w:rPr>
      </w:pPr>
      <w:r w:rsidRPr="0077707B">
        <w:rPr>
          <w:rFonts w:ascii="CIDFont+F1" w:hAnsi="CIDFont+F1" w:cs="CIDFont+F1"/>
          <w:b/>
        </w:rPr>
        <w:t xml:space="preserve">Toutes les nouvelles places validées seront-elles financées avec IDRA ? </w:t>
      </w:r>
    </w:p>
    <w:p w:rsidR="0077707B" w:rsidRDefault="0077707B" w:rsidP="007770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Les autorités ont la possibilité de répartir IDRA sur plusieurs projets issus du même appel à projets.</w:t>
      </w:r>
    </w:p>
    <w:p w:rsidR="0077707B" w:rsidRDefault="0077707B" w:rsidP="007770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77707B" w:rsidRPr="0077707B" w:rsidRDefault="0077707B" w:rsidP="0077707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7707B">
        <w:rPr>
          <w:rFonts w:ascii="CIDFont+F1" w:hAnsi="CIDFont+F1" w:cs="CIDFont+F1"/>
          <w:b/>
        </w:rPr>
        <w:t>Un projet est-il éligible pour IDRA 2023 sachant qu’il a déjà reçu des financements pour IDRA</w:t>
      </w:r>
      <w:r w:rsidRPr="0077707B">
        <w:rPr>
          <w:rFonts w:ascii="CIDFont+F1" w:hAnsi="CIDFont+F1" w:cs="CIDFont+F1"/>
          <w:b/>
        </w:rPr>
        <w:t xml:space="preserve"> 2022 ?</w:t>
      </w:r>
    </w:p>
    <w:p w:rsidR="0077707B" w:rsidRPr="0077707B" w:rsidRDefault="0077707B" w:rsidP="0077707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Oui, à deux conditions : que les travaux IDRA 2022 n’aient pas commencé et que, au total les</w:t>
      </w:r>
      <w:r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financements d’IDRA ne concernent pas plus de places que de places nouvelles créées (l’idée étant de</w:t>
      </w:r>
      <w:r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ne pas financer deux fois une même place). Par exemple, pour un projet de 50 places, </w:t>
      </w:r>
      <w:r>
        <w:rPr>
          <w:rFonts w:ascii="CIDFont+F1" w:hAnsi="CIDFont+F1" w:cs="CIDFont+F1"/>
        </w:rPr>
        <w:t>il est possible d’avoir soutenu</w:t>
      </w:r>
      <w:r w:rsidRPr="0077707B">
        <w:rPr>
          <w:rFonts w:ascii="CIDFont+F1" w:hAnsi="CIDFont+F1" w:cs="CIDFont+F1"/>
        </w:rPr>
        <w:t xml:space="preserve"> en 2022 30 places et soutenir ce même projet en 2023 pour 20 places.</w:t>
      </w:r>
    </w:p>
    <w:sectPr w:rsidR="0077707B" w:rsidRPr="00777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974" w:rsidRDefault="00E05974" w:rsidP="00E05974">
      <w:pPr>
        <w:spacing w:after="0" w:line="240" w:lineRule="auto"/>
      </w:pPr>
      <w:r>
        <w:separator/>
      </w:r>
    </w:p>
  </w:endnote>
  <w:endnote w:type="continuationSeparator" w:id="0">
    <w:p w:rsidR="00E05974" w:rsidRDefault="00E05974" w:rsidP="00E0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974" w:rsidRDefault="00E05974" w:rsidP="00E05974">
      <w:pPr>
        <w:spacing w:after="0" w:line="240" w:lineRule="auto"/>
      </w:pPr>
      <w:r>
        <w:separator/>
      </w:r>
    </w:p>
  </w:footnote>
  <w:footnote w:type="continuationSeparator" w:id="0">
    <w:p w:rsidR="00E05974" w:rsidRDefault="00E05974" w:rsidP="00E05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951"/>
    <w:multiLevelType w:val="hybridMultilevel"/>
    <w:tmpl w:val="F4C0F8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4900"/>
    <w:multiLevelType w:val="hybridMultilevel"/>
    <w:tmpl w:val="24E0249E"/>
    <w:lvl w:ilvl="0" w:tplc="BA6A0DC8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83636"/>
    <w:multiLevelType w:val="hybridMultilevel"/>
    <w:tmpl w:val="F4C0F8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B2372"/>
    <w:multiLevelType w:val="hybridMultilevel"/>
    <w:tmpl w:val="F4C0F8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74"/>
    <w:rsid w:val="0003689B"/>
    <w:rsid w:val="0077707B"/>
    <w:rsid w:val="00800672"/>
    <w:rsid w:val="00804C45"/>
    <w:rsid w:val="00E0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9501"/>
  <w15:chartTrackingRefBased/>
  <w15:docId w15:val="{C89BED48-3C04-4B41-8482-05E06DB8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59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5974"/>
  </w:style>
  <w:style w:type="paragraph" w:styleId="Pieddepage">
    <w:name w:val="footer"/>
    <w:basedOn w:val="Normal"/>
    <w:link w:val="PieddepageCar"/>
    <w:uiPriority w:val="99"/>
    <w:unhideWhenUsed/>
    <w:rsid w:val="00E0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Réunion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elodie-marie techer</dc:creator>
  <cp:keywords/>
  <dc:description/>
  <cp:lastModifiedBy>elodie-marie techer</cp:lastModifiedBy>
  <cp:revision>4</cp:revision>
  <dcterms:created xsi:type="dcterms:W3CDTF">2023-04-07T09:13:00Z</dcterms:created>
  <dcterms:modified xsi:type="dcterms:W3CDTF">2023-11-09T12:02:00Z</dcterms:modified>
</cp:coreProperties>
</file>